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89" w:rsidRDefault="00780C89" w:rsidP="00780C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7"/>
        </w:rPr>
      </w:pPr>
      <w:r w:rsidRPr="005E345E">
        <w:rPr>
          <w:rFonts w:ascii="Arial" w:eastAsia="Times New Roman" w:hAnsi="Arial" w:cs="Arial"/>
          <w:b/>
          <w:color w:val="333333"/>
          <w:sz w:val="28"/>
          <w:szCs w:val="27"/>
        </w:rPr>
        <w:t xml:space="preserve">CMS Mandated procedures not performed </w:t>
      </w:r>
    </w:p>
    <w:p w:rsidR="00780C89" w:rsidRDefault="00780C89" w:rsidP="00780C89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333333"/>
          <w:szCs w:val="27"/>
        </w:rPr>
      </w:pPr>
    </w:p>
    <w:p w:rsidR="00780C89" w:rsidRPr="00486812" w:rsidRDefault="00780C89" w:rsidP="00780C89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333333"/>
          <w:szCs w:val="27"/>
        </w:rPr>
      </w:pPr>
      <w:r w:rsidRPr="00486812">
        <w:rPr>
          <w:rFonts w:ascii="Arial" w:eastAsia="Times New Roman" w:hAnsi="Arial" w:cs="Arial"/>
          <w:b/>
          <w:color w:val="333333"/>
          <w:szCs w:val="27"/>
        </w:rPr>
        <w:t>Lab &amp; Pathology Services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80055</w:t>
      </w:r>
      <w:r w:rsidRPr="00486812">
        <w:rPr>
          <w:rFonts w:ascii="Arial" w:eastAsia="Times New Roman" w:hAnsi="Arial" w:cs="Arial"/>
          <w:color w:val="333333"/>
          <w:szCs w:val="27"/>
        </w:rPr>
        <w:tab/>
        <w:t>Obstetric blood test panel</w:t>
      </w:r>
    </w:p>
    <w:p w:rsidR="00780C89" w:rsidRPr="0002386C" w:rsidRDefault="00780C89" w:rsidP="00780C8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szCs w:val="27"/>
        </w:rPr>
      </w:pPr>
    </w:p>
    <w:p w:rsidR="00780C89" w:rsidRPr="00486812" w:rsidRDefault="00780C89" w:rsidP="00780C89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333333"/>
          <w:szCs w:val="27"/>
        </w:rPr>
      </w:pPr>
      <w:r w:rsidRPr="00486812">
        <w:rPr>
          <w:rFonts w:ascii="Arial" w:eastAsia="Times New Roman" w:hAnsi="Arial" w:cs="Arial"/>
          <w:b/>
          <w:color w:val="333333"/>
          <w:szCs w:val="27"/>
        </w:rPr>
        <w:t>Medicine and Surgery Services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95810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Sleep Study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19120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Removal of 1 or more</w:t>
      </w:r>
      <w:r>
        <w:rPr>
          <w:rFonts w:ascii="Arial" w:eastAsia="Times New Roman" w:hAnsi="Arial" w:cs="Arial"/>
          <w:color w:val="333333"/>
          <w:szCs w:val="27"/>
        </w:rPr>
        <w:t xml:space="preserve"> </w:t>
      </w:r>
      <w:r w:rsidRPr="00486812">
        <w:rPr>
          <w:rFonts w:ascii="Arial" w:eastAsia="Times New Roman" w:hAnsi="Arial" w:cs="Arial"/>
          <w:color w:val="333333"/>
          <w:szCs w:val="27"/>
        </w:rPr>
        <w:t>breast growth, open procedure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45391</w:t>
      </w:r>
      <w:r w:rsidRPr="00486812">
        <w:rPr>
          <w:rFonts w:ascii="Arial" w:eastAsia="Times New Roman" w:hAnsi="Arial" w:cs="Arial"/>
          <w:color w:val="333333"/>
          <w:szCs w:val="27"/>
        </w:rPr>
        <w:tab/>
        <w:t>Ultrasound examination of lower large bowel using an endoscope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42820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Removal of tonsils and adenoid glands patient younger than age 12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55700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Biopsy of prostate gland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55866</w:t>
      </w:r>
      <w:r w:rsidRPr="00486812">
        <w:rPr>
          <w:rFonts w:ascii="Arial" w:eastAsia="Times New Roman" w:hAnsi="Arial" w:cs="Arial"/>
          <w:color w:val="333333"/>
          <w:szCs w:val="27"/>
        </w:rPr>
        <w:tab/>
        <w:t>Surgical removal of prostate and surrounding lymph nodes using an endoscope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59400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Routine obstetric care for vaginal delivery, including pre- and post- delivery care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59510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Routine obstetric care for cesarean delivery, including pre- and post- delivery care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59610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Routine obstetric care for vaginal delivery after prior cesarean delivery including pre- and post- delivery care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64483</w:t>
      </w:r>
      <w:r w:rsidRPr="00486812">
        <w:rPr>
          <w:rFonts w:ascii="Arial" w:eastAsia="Times New Roman" w:hAnsi="Arial" w:cs="Arial"/>
          <w:color w:val="333333"/>
          <w:szCs w:val="27"/>
        </w:rPr>
        <w:tab/>
        <w:t>Injections of anesthetic and/or steroid drug into lower or sacral spine nerve root using imaging guidance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66821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Removal of recurring cataract in lens capsule using laser (YAG laser)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66984</w:t>
      </w:r>
      <w:r w:rsidRPr="00486812">
        <w:rPr>
          <w:rFonts w:ascii="Arial" w:eastAsia="Times New Roman" w:hAnsi="Arial" w:cs="Arial"/>
          <w:color w:val="333333"/>
          <w:szCs w:val="27"/>
        </w:rPr>
        <w:tab/>
        <w:t>Removal of cataract with insertion of lens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93000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Electrocardiogram, routine with interpretation and report</w:t>
      </w:r>
    </w:p>
    <w:p w:rsidR="00780C89" w:rsidRPr="0002386C" w:rsidRDefault="00780C89" w:rsidP="00780C8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szCs w:val="27"/>
        </w:rPr>
      </w:pPr>
    </w:p>
    <w:p w:rsidR="00780C89" w:rsidRPr="00486812" w:rsidRDefault="00780C89" w:rsidP="00780C89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333333"/>
          <w:szCs w:val="27"/>
        </w:rPr>
      </w:pPr>
      <w:r w:rsidRPr="00486812">
        <w:rPr>
          <w:rFonts w:ascii="Arial" w:eastAsia="Times New Roman" w:hAnsi="Arial" w:cs="Arial"/>
          <w:b/>
          <w:color w:val="333333"/>
          <w:szCs w:val="27"/>
        </w:rPr>
        <w:t>Evaluation &amp; Management Services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90832</w:t>
      </w:r>
      <w:r w:rsidRPr="00486812">
        <w:rPr>
          <w:rFonts w:ascii="Arial" w:eastAsia="Times New Roman" w:hAnsi="Arial" w:cs="Arial"/>
          <w:color w:val="333333"/>
          <w:szCs w:val="27"/>
        </w:rPr>
        <w:tab/>
        <w:t>Psychotherapy, 30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90834</w:t>
      </w:r>
      <w:r w:rsidRPr="00486812">
        <w:rPr>
          <w:rFonts w:ascii="Arial" w:eastAsia="Times New Roman" w:hAnsi="Arial" w:cs="Arial"/>
          <w:color w:val="333333"/>
          <w:szCs w:val="27"/>
        </w:rPr>
        <w:tab/>
        <w:t>Psychotherapy, 45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90837</w:t>
      </w:r>
      <w:r w:rsidRPr="00486812">
        <w:rPr>
          <w:rFonts w:ascii="Arial" w:eastAsia="Times New Roman" w:hAnsi="Arial" w:cs="Arial"/>
          <w:color w:val="333333"/>
          <w:szCs w:val="27"/>
        </w:rPr>
        <w:tab/>
        <w:t>Psychotherapy, 60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90846</w:t>
      </w:r>
      <w:r w:rsidRPr="00486812">
        <w:rPr>
          <w:rFonts w:ascii="Arial" w:eastAsia="Times New Roman" w:hAnsi="Arial" w:cs="Arial"/>
          <w:color w:val="333333"/>
          <w:szCs w:val="27"/>
        </w:rPr>
        <w:tab/>
        <w:t>Family psychotherapy, not including patient, 50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90847</w:t>
      </w:r>
      <w:r w:rsidRPr="00486812">
        <w:rPr>
          <w:rFonts w:ascii="Arial" w:eastAsia="Times New Roman" w:hAnsi="Arial" w:cs="Arial"/>
          <w:color w:val="333333"/>
          <w:szCs w:val="27"/>
        </w:rPr>
        <w:tab/>
        <w:t>Family psychotherapy, including patient, 50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90853</w:t>
      </w:r>
      <w:r w:rsidRPr="00486812">
        <w:rPr>
          <w:rFonts w:ascii="Arial" w:eastAsia="Times New Roman" w:hAnsi="Arial" w:cs="Arial"/>
          <w:color w:val="333333"/>
          <w:szCs w:val="27"/>
        </w:rPr>
        <w:tab/>
        <w:t>Group psychotherapy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99203</w:t>
      </w:r>
      <w:r w:rsidRPr="00486812">
        <w:rPr>
          <w:rFonts w:ascii="Arial" w:eastAsia="Times New Roman" w:hAnsi="Arial" w:cs="Arial"/>
          <w:color w:val="333333"/>
          <w:szCs w:val="27"/>
        </w:rPr>
        <w:tab/>
        <w:t>New patient office or other outpatient visit, typically 30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99204</w:t>
      </w:r>
      <w:r w:rsidRPr="00486812">
        <w:rPr>
          <w:rFonts w:ascii="Arial" w:eastAsia="Times New Roman" w:hAnsi="Arial" w:cs="Arial"/>
          <w:color w:val="333333"/>
          <w:szCs w:val="27"/>
        </w:rPr>
        <w:tab/>
        <w:t>New patient office or other outpatient visit, typically 45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99205</w:t>
      </w:r>
      <w:r w:rsidRPr="00486812">
        <w:rPr>
          <w:rFonts w:ascii="Arial" w:eastAsia="Times New Roman" w:hAnsi="Arial" w:cs="Arial"/>
          <w:color w:val="333333"/>
          <w:szCs w:val="27"/>
        </w:rPr>
        <w:tab/>
        <w:t>New patient office or other outpatient visit, typically 60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99243</w:t>
      </w:r>
      <w:r w:rsidRPr="00486812">
        <w:rPr>
          <w:rFonts w:ascii="Arial" w:eastAsia="Times New Roman" w:hAnsi="Arial" w:cs="Arial"/>
          <w:color w:val="333333"/>
          <w:szCs w:val="27"/>
        </w:rPr>
        <w:tab/>
        <w:t>Patient office consultation, typically 40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99244</w:t>
      </w:r>
      <w:r w:rsidRPr="00486812">
        <w:rPr>
          <w:rFonts w:ascii="Arial" w:eastAsia="Times New Roman" w:hAnsi="Arial" w:cs="Arial"/>
          <w:color w:val="333333"/>
          <w:szCs w:val="27"/>
        </w:rPr>
        <w:tab/>
        <w:t>Patient office consultation, typically 60 min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99385</w:t>
      </w:r>
      <w:r w:rsidRPr="00486812">
        <w:rPr>
          <w:rFonts w:ascii="Arial" w:eastAsia="Times New Roman" w:hAnsi="Arial" w:cs="Arial"/>
          <w:color w:val="333333"/>
          <w:szCs w:val="27"/>
        </w:rPr>
        <w:tab/>
        <w:t>Initial new patient preventive medicine evaluation (18-39 years)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99386</w:t>
      </w:r>
      <w:r w:rsidRPr="00486812">
        <w:rPr>
          <w:rFonts w:ascii="Arial" w:eastAsia="Times New Roman" w:hAnsi="Arial" w:cs="Arial"/>
          <w:color w:val="333333"/>
          <w:szCs w:val="27"/>
        </w:rPr>
        <w:tab/>
        <w:t>Initial new patient preventive medicine evaluation (40-64 years)</w:t>
      </w:r>
    </w:p>
    <w:p w:rsidR="00780C89" w:rsidRPr="0002386C" w:rsidRDefault="00780C89" w:rsidP="00780C8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szCs w:val="27"/>
        </w:rPr>
      </w:pPr>
    </w:p>
    <w:p w:rsidR="00780C89" w:rsidRPr="00486812" w:rsidRDefault="00780C89" w:rsidP="00780C89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333333"/>
          <w:szCs w:val="27"/>
        </w:rPr>
      </w:pPr>
      <w:r w:rsidRPr="00486812">
        <w:rPr>
          <w:rFonts w:ascii="Arial" w:eastAsia="Times New Roman" w:hAnsi="Arial" w:cs="Arial"/>
          <w:b/>
          <w:color w:val="333333"/>
          <w:szCs w:val="27"/>
        </w:rPr>
        <w:t>Medicine and Surgery Services</w:t>
      </w:r>
    </w:p>
    <w:p w:rsidR="00780C89" w:rsidRPr="005139B3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216</w:t>
      </w:r>
      <w:r w:rsidRPr="00486812">
        <w:rPr>
          <w:rFonts w:ascii="Arial" w:eastAsia="Times New Roman" w:hAnsi="Arial" w:cs="Arial"/>
          <w:color w:val="333333"/>
          <w:szCs w:val="27"/>
        </w:rPr>
        <w:tab/>
        <w:t xml:space="preserve">Cardiac valve and other major cardiothoracic procedures with cardiac catheterization with major complications or </w:t>
      </w:r>
      <w:r>
        <w:rPr>
          <w:rFonts w:ascii="Arial" w:eastAsia="Times New Roman" w:hAnsi="Arial" w:cs="Arial"/>
          <w:color w:val="333333"/>
          <w:szCs w:val="27"/>
        </w:rPr>
        <w:t>comorbid</w:t>
      </w:r>
      <w:r w:rsidRPr="005139B3">
        <w:rPr>
          <w:rFonts w:ascii="Arial" w:eastAsia="Times New Roman" w:hAnsi="Arial" w:cs="Arial"/>
          <w:color w:val="333333"/>
          <w:szCs w:val="27"/>
        </w:rPr>
        <w:t>ities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460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Spinal fusion except cervical without major comorbid conditions or complications (MCC)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470</w:t>
      </w:r>
      <w:r w:rsidRPr="00486812">
        <w:rPr>
          <w:rFonts w:ascii="Arial" w:eastAsia="Times New Roman" w:hAnsi="Arial" w:cs="Arial"/>
          <w:color w:val="333333"/>
          <w:szCs w:val="27"/>
        </w:rPr>
        <w:tab/>
        <w:t>Major joint replacement or reattachment of lower extremity without major comorbid conditions or complications (MCC)</w:t>
      </w:r>
    </w:p>
    <w:p w:rsidR="00780C89" w:rsidRPr="0048681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7"/>
        </w:rPr>
      </w:pPr>
      <w:r w:rsidRPr="00486812">
        <w:rPr>
          <w:rFonts w:ascii="Arial" w:eastAsia="Times New Roman" w:hAnsi="Arial" w:cs="Arial"/>
          <w:color w:val="333333"/>
          <w:szCs w:val="27"/>
        </w:rPr>
        <w:t>473</w:t>
      </w:r>
      <w:r w:rsidRPr="00486812">
        <w:rPr>
          <w:rFonts w:ascii="Arial" w:eastAsia="Times New Roman" w:hAnsi="Arial" w:cs="Arial"/>
          <w:color w:val="333333"/>
          <w:szCs w:val="27"/>
        </w:rPr>
        <w:tab/>
        <w:t>Cervical spinal fusion without comorbid conditions (CC) or major comorbid conditions or complications (MCC)</w:t>
      </w:r>
    </w:p>
    <w:p w:rsidR="00E81122" w:rsidRDefault="00780C89" w:rsidP="00780C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 w:rsidRPr="00780C89">
        <w:rPr>
          <w:rFonts w:ascii="Arial" w:eastAsia="Times New Roman" w:hAnsi="Arial" w:cs="Arial"/>
          <w:color w:val="333333"/>
          <w:szCs w:val="27"/>
        </w:rPr>
        <w:t>743</w:t>
      </w:r>
      <w:r w:rsidRPr="00780C89">
        <w:rPr>
          <w:rFonts w:ascii="Arial" w:eastAsia="Times New Roman" w:hAnsi="Arial" w:cs="Arial"/>
          <w:color w:val="333333"/>
          <w:szCs w:val="27"/>
        </w:rPr>
        <w:tab/>
        <w:t>Uterine and adnexa procedures for non-malignancy without comorbid conditions (CC) or major comorbid conditions or complications (MCC)</w:t>
      </w:r>
      <w:bookmarkStart w:id="0" w:name="_GoBack"/>
      <w:bookmarkEnd w:id="0"/>
    </w:p>
    <w:sectPr w:rsidR="00E8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752D"/>
    <w:multiLevelType w:val="hybridMultilevel"/>
    <w:tmpl w:val="1688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89"/>
    <w:rsid w:val="00780C89"/>
    <w:rsid w:val="00E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Nelson</dc:creator>
  <cp:lastModifiedBy>Shannon Nelson</cp:lastModifiedBy>
  <cp:revision>1</cp:revision>
  <dcterms:created xsi:type="dcterms:W3CDTF">2025-09-02T19:44:00Z</dcterms:created>
  <dcterms:modified xsi:type="dcterms:W3CDTF">2025-09-02T19:44:00Z</dcterms:modified>
</cp:coreProperties>
</file>